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E75DA0" w14:paraId="29B63463" wp14:textId="58A5F971">
      <w:pPr>
        <w:pStyle w:val="Normal"/>
        <w:spacing w:after="480" w:afterAutospacing="off"/>
        <w:ind w:left="36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63E75DA0" w:rsidR="63E75DA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ÖSSZEKÖTŐ SZÖVEG</w:t>
      </w:r>
    </w:p>
    <w:p w:rsidR="63E75DA0" w:rsidP="63E75DA0" w:rsidRDefault="63E75DA0" w14:paraId="49724DC6" w14:textId="549AF618">
      <w:pPr>
        <w:pStyle w:val="Normal"/>
        <w:spacing w:after="240" w:afterAutospacing="off"/>
        <w:ind w:left="36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E75DA0" w:rsidR="63E75DA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2. DIÁHOZ</w:t>
      </w:r>
    </w:p>
    <w:p w:rsidR="63E75DA0" w:rsidP="63E75DA0" w:rsidRDefault="63E75DA0" w14:paraId="6CC91582" w14:textId="5F0B0C36">
      <w:pPr>
        <w:pStyle w:val="Normal"/>
        <w:spacing w:after="240" w:afterAutospacing="off"/>
        <w:ind w:left="360"/>
        <w:jc w:val="both"/>
      </w:pPr>
      <w:r w:rsidRPr="63E75DA0" w:rsidR="63E75DA0">
        <w:rPr>
          <w:rFonts w:ascii="Arial" w:hAnsi="Arial" w:eastAsia="Arial" w:cs="Arial"/>
          <w:noProof w:val="0"/>
          <w:sz w:val="24"/>
          <w:szCs w:val="24"/>
          <w:lang w:val="hu-HU"/>
        </w:rPr>
        <w:t>A kohéziós politika, amelyet az Európai Unió működéséről szóló szerződés külön is említ (174. cikk), a régiók közötti fejlettségi különbségek csökkentése révén igyekszik erősíteni a gazdasági és társadalmi kohéziót.</w:t>
      </w:r>
    </w:p>
    <w:p w:rsidR="63E75DA0" w:rsidP="63E75DA0" w:rsidRDefault="63E75DA0" w14:paraId="2A710B0F" w14:textId="67DEEF3B">
      <w:pPr>
        <w:pStyle w:val="Normal"/>
        <w:spacing w:after="240" w:afterAutospacing="off"/>
        <w:ind w:left="360"/>
        <w:jc w:val="both"/>
      </w:pPr>
      <w:r w:rsidRPr="63E75DA0" w:rsidR="63E75DA0">
        <w:rPr>
          <w:rFonts w:ascii="Arial" w:hAnsi="Arial" w:eastAsia="Arial" w:cs="Arial"/>
          <w:noProof w:val="0"/>
          <w:sz w:val="24"/>
          <w:szCs w:val="24"/>
          <w:lang w:val="hu-HU"/>
        </w:rPr>
        <w:t>Középpontjában azok a kulcsterületek állnak, amelyek elősegítik, hogy az EU megfeleljen a 21. század kihívásainak, és versenyképes maradjon a világpiacon.</w:t>
      </w:r>
    </w:p>
    <w:p w:rsidR="63E75DA0" w:rsidP="63E75DA0" w:rsidRDefault="63E75DA0" w14:paraId="245301D1" w14:textId="796DA5CC">
      <w:pPr>
        <w:pStyle w:val="Normal"/>
        <w:spacing w:after="240" w:afterAutospacing="off"/>
        <w:ind w:left="36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u-HU"/>
        </w:rPr>
      </w:pPr>
      <w:r w:rsidRPr="63E75DA0" w:rsidR="63E75DA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u-HU"/>
        </w:rPr>
        <w:t>3. DIÁHOZ</w:t>
      </w:r>
    </w:p>
    <w:p w:rsidR="63E75DA0" w:rsidP="63E75DA0" w:rsidRDefault="63E75DA0" w14:paraId="075CA8C3" w14:textId="24125FE8">
      <w:pPr>
        <w:pStyle w:val="Normal"/>
        <w:spacing w:after="240" w:afterAutospacing="off"/>
        <w:ind w:left="360"/>
        <w:jc w:val="both"/>
      </w:pPr>
      <w:r w:rsidRPr="63E75DA0" w:rsidR="63E75DA0">
        <w:rPr>
          <w:rFonts w:ascii="Arial" w:hAnsi="Arial" w:eastAsia="Arial" w:cs="Arial"/>
          <w:noProof w:val="0"/>
          <w:color w:val="404041"/>
          <w:sz w:val="24"/>
          <w:szCs w:val="24"/>
          <w:lang w:val="hu-HU"/>
        </w:rPr>
        <w:t>Ezek az átalakítás lehetséges irányait jelezik.</w:t>
      </w:r>
    </w:p>
    <w:p w:rsidR="63E75DA0" w:rsidP="63E75DA0" w:rsidRDefault="63E75DA0" w14:paraId="042DF787" w14:textId="16286C0F">
      <w:pPr>
        <w:pStyle w:val="Normal"/>
        <w:spacing w:after="240" w:afterAutospacing="off"/>
        <w:ind w:left="360"/>
        <w:jc w:val="both"/>
      </w:pPr>
      <w:r w:rsidRPr="63E75DA0" w:rsidR="63E75DA0">
        <w:rPr>
          <w:rFonts w:ascii="Arial" w:hAnsi="Arial" w:eastAsia="Arial" w:cs="Arial"/>
          <w:noProof w:val="0"/>
          <w:color w:val="404041"/>
          <w:sz w:val="24"/>
          <w:szCs w:val="24"/>
          <w:lang w:val="hu-HU"/>
        </w:rPr>
        <w:t>Az alábbiakban a reformfolyamattal összefüggő legfontosabb dokumentumokat tesszük közzé.</w:t>
      </w:r>
    </w:p>
    <w:p w:rsidR="63E75DA0" w:rsidP="63E75DA0" w:rsidRDefault="63E75DA0" w14:paraId="583A2CEC" w14:textId="31C23B9B">
      <w:pPr>
        <w:pStyle w:val="Normal"/>
        <w:bidi w:val="0"/>
        <w:spacing w:before="0" w:beforeAutospacing="off" w:after="240" w:afterAutospacing="off" w:line="259" w:lineRule="auto"/>
        <w:ind w:left="360" w:right="0"/>
        <w:jc w:val="both"/>
      </w:pPr>
      <w:r w:rsidRPr="63E75DA0" w:rsidR="63E75DA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4. DIÁHOZ</w:t>
      </w:r>
    </w:p>
    <w:p w:rsidR="63E75DA0" w:rsidP="63E75DA0" w:rsidRDefault="63E75DA0" w14:paraId="035DAECF" w14:textId="0BC647FE">
      <w:pPr>
        <w:pStyle w:val="Normal"/>
        <w:bidi w:val="0"/>
        <w:spacing w:before="0" w:beforeAutospacing="off" w:after="240" w:afterAutospacing="off" w:line="259" w:lineRule="auto"/>
        <w:ind w:left="708" w:right="0" w:firstLine="0"/>
        <w:jc w:val="both"/>
      </w:pPr>
      <w:r w:rsidRPr="63E75DA0" w:rsidR="63E75DA0">
        <w:rPr>
          <w:rFonts w:ascii="Arial" w:hAnsi="Arial" w:eastAsia="Arial" w:cs="Arial"/>
          <w:noProof w:val="0"/>
          <w:sz w:val="24"/>
          <w:szCs w:val="24"/>
          <w:lang w:val="hu-HU"/>
        </w:rPr>
        <w:t>(2014‑es árakon ez összesen mintegy 351,8 milliárd euró).</w:t>
      </w:r>
    </w:p>
    <w:p w:rsidR="63E75DA0" w:rsidP="63E75DA0" w:rsidRDefault="63E75DA0" w14:paraId="20073877" w14:textId="0230A33B">
      <w:pPr>
        <w:pStyle w:val="Normal"/>
        <w:bidi w:val="0"/>
        <w:spacing w:before="0" w:beforeAutospacing="off" w:after="240" w:afterAutospacing="off" w:line="259" w:lineRule="auto"/>
        <w:ind w:left="708" w:right="0" w:firstLine="0"/>
        <w:jc w:val="both"/>
      </w:pPr>
      <w:r w:rsidRPr="63E75DA0" w:rsidR="63E75DA0">
        <w:rPr>
          <w:rFonts w:ascii="Arial" w:hAnsi="Arial" w:eastAsia="Arial" w:cs="Arial"/>
          <w:noProof w:val="0"/>
          <w:color w:val="404041"/>
          <w:sz w:val="24"/>
          <w:szCs w:val="24"/>
          <w:lang w:val="hu-HU"/>
        </w:rPr>
        <w:t>Ezen kívül: számszerűsíthető gazdasági jellemzők alapján kimutatható tartós elmaradottság csökkentése vagy megszűntetése.</w:t>
      </w:r>
    </w:p>
    <w:p w:rsidR="63E75DA0" w:rsidP="63E75DA0" w:rsidRDefault="63E75DA0" w14:paraId="5C32776D" w14:textId="40EC9DCD">
      <w:pPr>
        <w:pStyle w:val="Normal"/>
        <w:bidi w:val="0"/>
        <w:spacing w:before="0" w:beforeAutospacing="off" w:after="240" w:afterAutospacing="off" w:line="259" w:lineRule="auto"/>
        <w:ind w:left="708" w:right="0" w:firstLine="0"/>
        <w:jc w:val="both"/>
        <w:rPr>
          <w:rFonts w:ascii="Arial" w:hAnsi="Arial" w:eastAsia="Arial" w:cs="Arial"/>
          <w:noProof w:val="0"/>
          <w:sz w:val="24"/>
          <w:szCs w:val="24"/>
          <w:lang w:val="hu-HU"/>
        </w:rPr>
      </w:pPr>
    </w:p>
    <w:p w:rsidR="63E75DA0" w:rsidP="63E75DA0" w:rsidRDefault="63E75DA0" w14:paraId="66D6F1F3" w14:textId="76069C69">
      <w:pPr>
        <w:pStyle w:val="Normal"/>
        <w:bidi w:val="0"/>
        <w:spacing w:before="0" w:beforeAutospacing="off" w:after="240" w:afterAutospacing="off" w:line="259" w:lineRule="auto"/>
        <w:ind w:left="708" w:right="0" w:firstLine="0"/>
        <w:jc w:val="both"/>
      </w:pPr>
      <w:r w:rsidRPr="63E75DA0" w:rsidR="63E75DA0">
        <w:rPr>
          <w:rFonts w:ascii="Arial" w:hAnsi="Arial" w:eastAsia="Arial" w:cs="Arial"/>
          <w:noProof w:val="0"/>
          <w:sz w:val="24"/>
          <w:szCs w:val="24"/>
          <w:lang w:val="hu-HU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1137C1"/>
  <w15:docId w15:val="{e31c7cff-7267-4482-b49a-d7ec7314f879}"/>
  <w:rsids>
    <w:rsidRoot w:val="35A93C08"/>
    <w:rsid w:val="0A1137C1"/>
    <w:rsid w:val="35A93C08"/>
    <w:rsid w:val="63E75D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889bddbee6d48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2019-04-14T08:46:25.9030387Z</dcterms:created>
  <dcterms:modified xsi:type="dcterms:W3CDTF">2019-04-14T09:23:55.0889922Z</dcterms:modified>
  <dc:creator>Vendégfelhasználó</dc:creator>
  <lastModifiedBy>Vendégfelhasználó</lastModifiedBy>
</coreProperties>
</file>