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D1" w:rsidRDefault="00E435C0">
      <w:r>
        <w:t>1</w:t>
      </w:r>
      <w:proofErr w:type="gramStart"/>
      <w:r>
        <w:t>.dia</w:t>
      </w:r>
      <w:proofErr w:type="gramEnd"/>
      <w:r>
        <w:t>: Sziasztok! Szeretnénk bemutatkozni Nektek, Koncz Erika és Madarász Martin diáktársaitok vagyunk. Feldolgoztunk egy témát, a h</w:t>
      </w:r>
      <w:r w:rsidR="00C4619A">
        <w:t>áztartások pénzgazdálkodása</w:t>
      </w:r>
      <w:r>
        <w:t xml:space="preserve"> címmel. Készítettünk hozzá egy kis tanulást segítő diasort, amit szeretnénk Nektek bemutatni. Az előadás második felében pedig megkér</w:t>
      </w:r>
      <w:r w:rsidR="00AB2D12">
        <w:t>nénk Titeket arra, hogy készítsé</w:t>
      </w:r>
      <w:r>
        <w:t>tek el az elhangzottak alapján egy</w:t>
      </w:r>
      <w:r w:rsidR="00AB2D12">
        <w:t xml:space="preserve"> család</w:t>
      </w:r>
      <w:r>
        <w:t xml:space="preserve"> költség</w:t>
      </w:r>
      <w:r w:rsidR="00AB2D12">
        <w:t>vetését.</w:t>
      </w:r>
    </w:p>
    <w:p w:rsidR="00C4619A" w:rsidRDefault="00AB2D12">
      <w:r>
        <w:t>2</w:t>
      </w:r>
      <w:proofErr w:type="gramStart"/>
      <w:r w:rsidR="00E435C0">
        <w:t>.dia</w:t>
      </w:r>
      <w:proofErr w:type="gramEnd"/>
      <w:r w:rsidR="00E435C0">
        <w:t xml:space="preserve">: </w:t>
      </w:r>
      <w:r w:rsidR="00C4619A">
        <w:t>Miért fontos a pénzgazdálkodás? Miért kell megtanulnunk gazdálkodni a pénzzel?</w:t>
      </w:r>
    </w:p>
    <w:p w:rsidR="00C4619A" w:rsidRDefault="00C4619A">
      <w:r>
        <w:t>Azért, mert sajnos nincs annyi pénzünk, amennyit szeretnénk. Mindenkinek rengeteg dologra van szüksége, amik nagy részét pénzért tudjuk megvásárolni a boltokban. Mivel azonban kevesebb pénzünk van, mint amennyit el tudnánk költeni, meg kell tanulni beosztani.</w:t>
      </w:r>
    </w:p>
    <w:p w:rsidR="00C4619A" w:rsidRDefault="00C4619A">
      <w:r>
        <w:t>A beosztás azt jelenti, hogy meg kell gondolnunk, hogy mikor mit veszünk.</w:t>
      </w:r>
    </w:p>
    <w:p w:rsidR="00C4619A" w:rsidRDefault="00C4619A">
      <w:r>
        <w:t xml:space="preserve">Nemcsak a jelenlegi vásárlásainkat kell végiggondolni, de fontos lenne úgy beosztani a pénzünket, hogy tudjunk tartalékolni. Sok váratlan dolog történhet velünk, amikor jól jön, ha van megtakarított pénzünk, például elejtjük a telefonunkat, és bereped a kijelző, tönkre megy a mosógép vagy a hűtő. </w:t>
      </w:r>
    </w:p>
    <w:p w:rsidR="00C4619A" w:rsidRDefault="00C4619A">
      <w:r>
        <w:t>Ha szüleink gazdálkodnak a pénzükkel, és ezt nekünk, gyerekeknek is megtanítják, később majd a saját háztartásunkban is be tudjuk úgy osztani a pénzt, hogy sok mindent megengedhessünk magunknak, mégis anyagi biztonságban legyünk.</w:t>
      </w:r>
    </w:p>
    <w:p w:rsidR="00C4619A" w:rsidRDefault="00AB2D12">
      <w:r>
        <w:t>3</w:t>
      </w:r>
      <w:proofErr w:type="gramStart"/>
      <w:r w:rsidR="00E435C0">
        <w:t>.dia</w:t>
      </w:r>
      <w:proofErr w:type="gramEnd"/>
      <w:r w:rsidR="00E435C0">
        <w:t xml:space="preserve">: </w:t>
      </w:r>
      <w:r w:rsidR="00C4619A">
        <w:t>A pénzünk beosztását segítheti, ha készítünk költségvetést. Ez egy pénzügyi terv, amelyben a jövőre vonatkozóan megtervezzük a bevételeinket és a kiadásainkat. A jó az, ha több a bevételünk, mint a kiadásunk, de ez nem valósulhat meg mindig. Ilyen esetben csökkenteni kell a kiadásainkat, vagy növelni a bevételeinket.</w:t>
      </w:r>
    </w:p>
    <w:p w:rsidR="00C4619A" w:rsidRDefault="00AB2D12">
      <w:r>
        <w:t>4</w:t>
      </w:r>
      <w:proofErr w:type="gramStart"/>
      <w:r w:rsidR="00E435C0">
        <w:t>.dia</w:t>
      </w:r>
      <w:proofErr w:type="gramEnd"/>
      <w:r w:rsidR="00E435C0">
        <w:t xml:space="preserve">: </w:t>
      </w:r>
      <w:r w:rsidR="00C4619A">
        <w:t>A költségvetés nagyon egyszerűen elkészíthető például táblázatban. Fontos, hogy minden bevételt és minden kiadást rögzítsünk, hogy a tényleges pénzügyi helyzetünket lássuk!</w:t>
      </w:r>
    </w:p>
    <w:p w:rsidR="00E435C0" w:rsidRDefault="00AB2D12">
      <w:r>
        <w:t>5</w:t>
      </w:r>
      <w:proofErr w:type="gramStart"/>
      <w:r>
        <w:t>.dia</w:t>
      </w:r>
      <w:proofErr w:type="gramEnd"/>
      <w:r>
        <w:t xml:space="preserve">: </w:t>
      </w:r>
      <w:r w:rsidR="00E435C0">
        <w:t>A családok legfontosabb bevételi forrása a munkavégzéshez kapcsolódó jövedelmek. Ez a munkabér, amit a ledolgozott munkáért kapnak az adók és járulékok levonása után. Ilyen lehet még a nyugdíj, ami 65 éves kor után jár. Vagy a táppénz, amit akkor kap a dolgozó, ha megbetegszik, és nem tud munkát végezni.</w:t>
      </w:r>
    </w:p>
    <w:p w:rsidR="00E435C0" w:rsidRDefault="00E435C0">
      <w:r>
        <w:t xml:space="preserve">Fontosak az államtól kapott juttatások, mint a gyermekek után járó családi pótlék, vagy a munkanélküli segély. </w:t>
      </w:r>
    </w:p>
    <w:p w:rsidR="00E435C0" w:rsidRDefault="00E435C0">
      <w:r>
        <w:t>Keletkezhet még bevétele egy családnak akkor is, ha van megtakarítása, ami kamatozik. Vagy van olyan dolog a tulajdonában, amit másoknak pénzért ad kölcsön, például egy lakás vagy nyaraló.</w:t>
      </w:r>
    </w:p>
    <w:p w:rsidR="00E435C0" w:rsidRDefault="00E435C0">
      <w:r>
        <w:t>Ezek a bevételek rendszeresek, lehet rájuk számítani.</w:t>
      </w:r>
    </w:p>
    <w:p w:rsidR="00E435C0" w:rsidRDefault="00E435C0">
      <w:r>
        <w:t>Vannak rendkívüli bevételek is, mint egy nyeremény vagy örökség. Ezek csak alkalmanként keletkeznek, bizonytalanok.</w:t>
      </w:r>
    </w:p>
    <w:p w:rsidR="00E435C0" w:rsidRDefault="00AB2D12">
      <w:r>
        <w:t>6</w:t>
      </w:r>
      <w:proofErr w:type="gramStart"/>
      <w:r>
        <w:t>.dia</w:t>
      </w:r>
      <w:proofErr w:type="gramEnd"/>
      <w:r>
        <w:t>: Ahogy ezen az ábrán láthatjátok, Magyarországon a családok legfontosabb bevételi forrása a munkabér, ezt mutatja a kördiagram sötétebb kék része. Az ország területén látható sárga árnyalatok pedig a jövedelem nagyságát szimbolizálják, minél sötétebb sárga, annál magasabb a jövedelem. A legmagasabb Budapesten.</w:t>
      </w:r>
    </w:p>
    <w:p w:rsidR="00AB2D12" w:rsidRDefault="00AB2D12">
      <w:r>
        <w:t>7</w:t>
      </w:r>
      <w:proofErr w:type="gramStart"/>
      <w:r>
        <w:t>.dia</w:t>
      </w:r>
      <w:proofErr w:type="gramEnd"/>
      <w:r>
        <w:t>: A bevételek mellett fontos, hogy a kiadásokat is összegezzük a költségvetésben. Többféle szempont szerint is lehetne csoportosítani a kiadásokat, mi most csak egyet mutatunk be. A kiadások legfőbb csoportjai az élelmezés; a rezsi, a ruházkodás, az egészségügy, a közlekedés és hírközlés, az oktatás és a többi összefoglalva az egyéb kategória.</w:t>
      </w:r>
    </w:p>
    <w:p w:rsidR="00AB2D12" w:rsidRDefault="00AB2D12">
      <w:r>
        <w:lastRenderedPageBreak/>
        <w:t>8</w:t>
      </w:r>
      <w:proofErr w:type="gramStart"/>
      <w:r>
        <w:t>.dia</w:t>
      </w:r>
      <w:proofErr w:type="gramEnd"/>
      <w:r>
        <w:t>: A háztartások kiadásait ezekbe a csoportokba besorolva láthatjuk, hogy a legtöbbet élelmiszerekre költünk, majd a lakásfenntartásra, rezsire. Legkevesebbet pedig vendéglátásra, szállásra, vagyis nyaralásra költünk, vagy arra, hogy étteremben vacsorázzunk.</w:t>
      </w:r>
    </w:p>
    <w:p w:rsidR="00AB2D12" w:rsidRDefault="00AB2D12">
      <w:r>
        <w:t>9</w:t>
      </w:r>
      <w:proofErr w:type="gramStart"/>
      <w:r>
        <w:t>.dia</w:t>
      </w:r>
      <w:proofErr w:type="gramEnd"/>
      <w:r>
        <w:t>: Találtunk egy ábrát az interneten arról, hogy az Európai Unióban mennyi a nettó átlagfizetés, vagyis az adók megfizetése után mennyit keres egy dolgozó havonta. Annak ellenére, hogy Magyarországon a statisztikák szerint emelkednek a fizetések, még mindig az EU átlag harmada a fizetés, a legmagasabb Luxemburgban, ahol a magyarországi átlagfizetés</w:t>
      </w:r>
      <w:r w:rsidR="00D159B3">
        <w:t xml:space="preserve"> ötszörösét kapják a munkavállalók átlagban.</w:t>
      </w:r>
    </w:p>
    <w:p w:rsidR="00674ECF" w:rsidRDefault="00674ECF">
      <w:r>
        <w:t>10</w:t>
      </w:r>
      <w:proofErr w:type="gramStart"/>
      <w:r>
        <w:t>.dia</w:t>
      </w:r>
      <w:proofErr w:type="gramEnd"/>
      <w:r>
        <w:t>: Van-e valakinek kérdése az eddigiekkel kapcsolatban? (Ha igen, megválaszoljátok. Ha nincs több kérdés, megyünk tovább!)</w:t>
      </w:r>
    </w:p>
    <w:p w:rsidR="00674ECF" w:rsidRDefault="00674ECF">
      <w:r>
        <w:t>11</w:t>
      </w:r>
      <w:proofErr w:type="gramStart"/>
      <w:r>
        <w:t>.dia</w:t>
      </w:r>
      <w:proofErr w:type="gramEnd"/>
      <w:r>
        <w:t>: Akkor most arra szeretnénk kérni Titeket, hogy készítsétek el a következő információk alapján a Kiss család költségvetését!</w:t>
      </w:r>
      <w:r w:rsidR="00E7528B">
        <w:t xml:space="preserve"> Kaptok egy táblázatot, ebbe kellene beleírni a bevételeket illetve kiadásokat a megfelelő helyre. Aztán együtt ellenőrizzük az eredményt. (Ki kell osztani nekik egy-egy üres táblázatot. A következő dián a megoldás szerepel, csak akkor kell diát váltani, ha készen vannak a feladattal.)</w:t>
      </w:r>
    </w:p>
    <w:p w:rsidR="00E7528B" w:rsidRDefault="00E7528B">
      <w:r>
        <w:t>12</w:t>
      </w:r>
      <w:proofErr w:type="gramStart"/>
      <w:r>
        <w:t>.dia</w:t>
      </w:r>
      <w:proofErr w:type="gramEnd"/>
      <w:r>
        <w:t xml:space="preserve">: Akkor most ellenőrizzük az eredményeket. </w:t>
      </w:r>
      <w:r w:rsidR="00D33C30">
        <w:t>Ha minden bevételt és kiadást figyelembe vettetek, akkor a családnak 10.100 Ft megtakarítása keletkezett a hónapban, vagyis mindent ki tudtak fizetni, és ennyi pénzük maradt, amiről dönteniük kell, hogy elköltsék, vagy eltegyék későbbre.</w:t>
      </w:r>
    </w:p>
    <w:p w:rsidR="00D33C30" w:rsidRDefault="00D33C30">
      <w:r>
        <w:t>Sikerült megoldani a feladatot? Akkor köszönjük a figyelmet!</w:t>
      </w:r>
    </w:p>
    <w:p w:rsidR="00D33C30" w:rsidRDefault="00D33C30">
      <w:r>
        <w:br w:type="page"/>
      </w:r>
    </w:p>
    <w:p w:rsidR="00D33C30" w:rsidRDefault="00D33C30">
      <w:r>
        <w:lastRenderedPageBreak/>
        <w:t>Feladat: A Kiss család</w:t>
      </w:r>
    </w:p>
    <w:p w:rsidR="00D33C30" w:rsidRDefault="00D33C30">
      <w:r w:rsidRPr="00D33C30">
        <w:t xml:space="preserve">A Kiss családban az édesanya nővérként dolgozik a helyi kórházban. Nettó jövedelme 185.000 Ft/hó. </w:t>
      </w:r>
      <w:r w:rsidRPr="00D33C30">
        <w:br/>
        <w:t xml:space="preserve">Az édesapa mérnökként dolgozik a helyi gyárban, fizetése a műszakpótlékkal együtt nettó 250.000 Ft. </w:t>
      </w:r>
      <w:r w:rsidRPr="00D33C30">
        <w:br/>
        <w:t xml:space="preserve">A család két gyermeket nevel, melyek után 26.600 Ft. </w:t>
      </w:r>
      <w:proofErr w:type="gramStart"/>
      <w:r w:rsidRPr="00D33C30">
        <w:t>családi</w:t>
      </w:r>
      <w:proofErr w:type="gramEnd"/>
      <w:r w:rsidRPr="00D33C30">
        <w:t xml:space="preserve"> pótlékot kapnak.</w:t>
      </w:r>
      <w:r w:rsidRPr="00D33C30">
        <w:br/>
        <w:t>Korábban örököltek egy nyaralót a Balatonnál, amelyet rendszeresen bérbe adnak. Úgy számolják, hogy átlagosan havi 25.000 Ft-hoz jutnak a bérleti díjból.</w:t>
      </w:r>
    </w:p>
    <w:p w:rsidR="00D33C30" w:rsidRDefault="00D33C30">
      <w:proofErr w:type="gramStart"/>
      <w:r w:rsidRPr="00D33C30">
        <w:t>A család havi kiadásai a következőek:</w:t>
      </w:r>
      <w:r w:rsidRPr="00D33C30">
        <w:br/>
        <w:t>- lakás- és autóhitel törlesztése:198.000 Ft/hó</w:t>
      </w:r>
      <w:r w:rsidRPr="00D33C30">
        <w:br/>
        <w:t>- villanyszámla:12.500 Ft/hó</w:t>
      </w:r>
      <w:r w:rsidRPr="00D33C30">
        <w:br/>
        <w:t>- fűtés:22.000 Ft/hó</w:t>
      </w:r>
      <w:r w:rsidRPr="00D33C30">
        <w:br/>
        <w:t>- szülők étkezése a munkahelyen:35.000 Ft</w:t>
      </w:r>
      <w:r w:rsidRPr="00D33C30">
        <w:br/>
        <w:t>- gyerekek étkezése az iskolában:23.000 Ft</w:t>
      </w:r>
      <w:r w:rsidRPr="00D33C30">
        <w:br/>
        <w:t>- utazási költség (benzin, busz):20.000 Ft</w:t>
      </w:r>
      <w:r w:rsidRPr="00D33C30">
        <w:br/>
        <w:t>- élelmiszer vásárlás: 24.000 Ft</w:t>
      </w:r>
      <w:r w:rsidRPr="00D33C30">
        <w:br/>
        <w:t>- tisztítószerek, tisztálkodási szerek:18.000 Ft</w:t>
      </w:r>
      <w:r w:rsidRPr="00D33C30">
        <w:br/>
        <w:t>- gyógyszerek, vitaminok:10.000 Ft</w:t>
      </w:r>
      <w:r w:rsidRPr="00D33C30">
        <w:br/>
        <w:t>- kábeltévé és internet-előfizetés:12.000 Ft</w:t>
      </w:r>
      <w:r w:rsidRPr="00D33C30">
        <w:br/>
        <w:t>- komolyzenei koncert-bérlet:4.000 Ft</w:t>
      </w:r>
      <w:proofErr w:type="gramEnd"/>
    </w:p>
    <w:p w:rsidR="00D33C30" w:rsidRDefault="00D33C30">
      <w:r>
        <w:br w:type="page"/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3260"/>
        <w:gridCol w:w="1276"/>
      </w:tblGrid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lastRenderedPageBreak/>
              <w:t>Bevételek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Összeg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Kiadások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Összeg</w:t>
            </w:r>
          </w:p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Munkajövedelmek: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Élelmiszerek: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3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Társadalmi jövedelmek: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Lakásfenntartás, energia: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Egyéb jövedelmek: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3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Közlekedés: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Hírközlés: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/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Kultúra: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Egészségügy: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Egyéb: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ÖSSZESEN: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ÖSSZESEN: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</w:tr>
      <w:tr w:rsidR="00D33C30" w:rsidRPr="00D33C30" w:rsidTr="00D33C30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rPr>
                <w:b/>
                <w:bCs/>
              </w:rPr>
              <w:t>EGYENLEG: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D33C30" w:rsidRPr="00D33C30" w:rsidRDefault="00D33C30" w:rsidP="00D33C30"/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D33C30">
            <w:r w:rsidRPr="00D33C30">
              <w:t> </w:t>
            </w:r>
          </w:p>
        </w:tc>
      </w:tr>
    </w:tbl>
    <w:p w:rsidR="00D33C30" w:rsidRDefault="00D33C30"/>
    <w:p w:rsidR="00D33C30" w:rsidRDefault="00D33C30">
      <w:r>
        <w:br w:type="page"/>
      </w: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3260"/>
        <w:gridCol w:w="1276"/>
      </w:tblGrid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lastRenderedPageBreak/>
              <w:t>Bevételek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Összeg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Kiadások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Összeg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Munkajövedelmek: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  <w:r w:rsidRPr="00D33C30">
              <w:rPr>
                <w:b/>
                <w:bCs/>
              </w:rPr>
              <w:t>435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pPr>
              <w:rPr>
                <w:b/>
              </w:rPr>
            </w:pPr>
            <w:r w:rsidRPr="00D33C30">
              <w:rPr>
                <w:b/>
              </w:rPr>
              <w:t>Élelmiszerek: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  <w:r w:rsidRPr="00D33C30">
              <w:rPr>
                <w:b/>
                <w:bCs/>
              </w:rPr>
              <w:t>82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Cs/>
              </w:rPr>
              <w:t> - Anya jövedelme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185</w:t>
            </w:r>
            <w:r>
              <w:t>.</w:t>
            </w:r>
            <w:r w:rsidRPr="00D33C30">
              <w:t>000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szülők étkezése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35</w:t>
            </w:r>
            <w:r>
              <w:t>.</w:t>
            </w:r>
            <w:r w:rsidRPr="00D33C30">
              <w:t>000</w:t>
            </w:r>
          </w:p>
        </w:tc>
      </w:tr>
      <w:tr w:rsidR="00D33C30" w:rsidRPr="00D33C30" w:rsidTr="004D38CC">
        <w:trPr>
          <w:trHeight w:val="43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Cs/>
              </w:rPr>
              <w:t> - Apa jövedelme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250</w:t>
            </w:r>
            <w:r>
              <w:t>.</w:t>
            </w:r>
            <w:r w:rsidRPr="00D33C30">
              <w:t>000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gyerekek étkezése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23</w:t>
            </w:r>
            <w:r>
              <w:t>.</w:t>
            </w:r>
            <w:r w:rsidRPr="00D33C30"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Társadalmi jövedelmek: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  <w:r w:rsidRPr="00D33C30">
              <w:rPr>
                <w:b/>
                <w:bCs/>
              </w:rPr>
              <w:t>26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600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élelmiszer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24</w:t>
            </w:r>
            <w:r>
              <w:t>.</w:t>
            </w:r>
            <w:r w:rsidRPr="00D33C30"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  <w:r w:rsidRPr="00D33C30">
              <w:rPr>
                <w:bCs/>
              </w:rPr>
              <w:t>- Családi pótlék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26</w:t>
            </w:r>
            <w:r>
              <w:t>.</w:t>
            </w:r>
            <w:r w:rsidRPr="00D33C30">
              <w:t>600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pPr>
              <w:rPr>
                <w:b/>
              </w:rPr>
            </w:pPr>
            <w:r w:rsidRPr="00D33C30">
              <w:rPr>
                <w:b/>
              </w:rPr>
              <w:t>Lakásfenntartás, energia: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  <w:r w:rsidRPr="00D33C30">
              <w:rPr>
                <w:b/>
                <w:bCs/>
              </w:rPr>
              <w:t>250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500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Egyéb jövedelmek: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  <w:r w:rsidRPr="00D33C30">
              <w:rPr>
                <w:b/>
                <w:bCs/>
              </w:rPr>
              <w:t>25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000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villanyszámla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12</w:t>
            </w:r>
            <w:r>
              <w:t>.</w:t>
            </w:r>
            <w:r w:rsidRPr="00D33C30">
              <w:t>500</w:t>
            </w:r>
          </w:p>
        </w:tc>
      </w:tr>
      <w:tr w:rsidR="00D33C30" w:rsidRPr="00D33C30" w:rsidTr="004D38CC">
        <w:trPr>
          <w:trHeight w:val="43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  <w:r w:rsidRPr="00D33C30">
              <w:rPr>
                <w:bCs/>
              </w:rPr>
              <w:t>- Nyaraló bérleti díja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25</w:t>
            </w:r>
            <w:r>
              <w:t>.</w:t>
            </w:r>
            <w:r w:rsidRPr="00D33C30">
              <w:t>000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fűtés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22</w:t>
            </w:r>
            <w:r>
              <w:t>.</w:t>
            </w:r>
            <w:r w:rsidRPr="00D33C30"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tisztítószer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18</w:t>
            </w:r>
            <w:r>
              <w:t>.</w:t>
            </w:r>
            <w:r w:rsidRPr="00D33C30">
              <w:t>000 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hiteltörlesztések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198</w:t>
            </w:r>
            <w:r>
              <w:t>.</w:t>
            </w:r>
            <w:r w:rsidRPr="00D33C30">
              <w:t>000 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pPr>
              <w:rPr>
                <w:b/>
              </w:rPr>
            </w:pPr>
            <w:r w:rsidRPr="00D33C30">
              <w:rPr>
                <w:b/>
              </w:rPr>
              <w:t>Közlekedés: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  <w:r w:rsidRPr="00D33C30">
              <w:rPr>
                <w:b/>
                <w:bCs/>
              </w:rPr>
              <w:t>20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benzin és buszbérlet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20</w:t>
            </w:r>
            <w:r>
              <w:t>.</w:t>
            </w:r>
            <w:r w:rsidRPr="00D33C30">
              <w:t>000 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pPr>
              <w:rPr>
                <w:b/>
              </w:rPr>
            </w:pPr>
            <w:r w:rsidRPr="00D33C30">
              <w:rPr>
                <w:b/>
              </w:rPr>
              <w:t>Hírközlés: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12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kábeltévé és internet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12</w:t>
            </w:r>
            <w:r>
              <w:t>.</w:t>
            </w:r>
            <w:r w:rsidRPr="00D33C30"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pPr>
              <w:rPr>
                <w:b/>
              </w:rPr>
            </w:pPr>
            <w:r w:rsidRPr="00D33C30">
              <w:rPr>
                <w:b/>
              </w:rPr>
              <w:t>Kultúra: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4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komolyzenei koncert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4</w:t>
            </w:r>
            <w:r>
              <w:t>.</w:t>
            </w:r>
            <w:r w:rsidRPr="00D33C30"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pPr>
              <w:rPr>
                <w:b/>
              </w:rPr>
            </w:pPr>
            <w:r w:rsidRPr="00D33C30">
              <w:rPr>
                <w:b/>
              </w:rPr>
              <w:t>Egészségügy: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  <w:r w:rsidRPr="00D33C30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gyógyszer és vitamin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10</w:t>
            </w:r>
            <w:r>
              <w:t>.</w:t>
            </w:r>
            <w:r w:rsidRPr="00D33C30"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pPr>
              <w:rPr>
                <w:b/>
              </w:rPr>
            </w:pPr>
            <w:r w:rsidRPr="00D33C30">
              <w:t> </w:t>
            </w:r>
            <w:r w:rsidRPr="00D33C30">
              <w:rPr>
                <w:b/>
              </w:rPr>
              <w:t>Egyéb: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  <w:r w:rsidRPr="00D33C30">
              <w:rPr>
                <w:b/>
                <w:bCs/>
              </w:rPr>
              <w:t>98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000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- mosógép cseréje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98</w:t>
            </w:r>
            <w:r>
              <w:t>.</w:t>
            </w:r>
            <w:r w:rsidRPr="00D33C30">
              <w:t>000 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ÖSSZESEN: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pPr>
              <w:rPr>
                <w:b/>
              </w:rPr>
            </w:pPr>
            <w:r w:rsidRPr="00D33C30">
              <w:rPr>
                <w:b/>
              </w:rPr>
              <w:t> </w:t>
            </w:r>
            <w:r w:rsidRPr="00D33C30">
              <w:rPr>
                <w:b/>
                <w:bCs/>
              </w:rPr>
              <w:t>486.600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pPr>
              <w:rPr>
                <w:b/>
              </w:rPr>
            </w:pPr>
            <w:r w:rsidRPr="00D33C30">
              <w:rPr>
                <w:b/>
              </w:rPr>
              <w:t>ÖSSZESEN: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  <w:r w:rsidRPr="00D33C30">
              <w:rPr>
                <w:b/>
                <w:bCs/>
              </w:rPr>
              <w:t>476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500</w:t>
            </w:r>
          </w:p>
        </w:tc>
      </w:tr>
      <w:tr w:rsidR="00D33C30" w:rsidRPr="00D33C30" w:rsidTr="004D38CC">
        <w:trPr>
          <w:trHeight w:val="451"/>
        </w:trPr>
        <w:tc>
          <w:tcPr>
            <w:tcW w:w="2825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rPr>
                <w:b/>
                <w:bCs/>
              </w:rPr>
              <w:t>EGYENLEG: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  <w:r w:rsidRPr="00D33C30">
              <w:rPr>
                <w:b/>
                <w:bCs/>
              </w:rPr>
              <w:t>+10</w:t>
            </w:r>
            <w:r>
              <w:rPr>
                <w:b/>
                <w:bCs/>
              </w:rPr>
              <w:t>.</w:t>
            </w:r>
            <w:r w:rsidRPr="00D33C30">
              <w:rPr>
                <w:b/>
                <w:bCs/>
              </w:rPr>
              <w:t>100</w:t>
            </w:r>
          </w:p>
        </w:tc>
        <w:tc>
          <w:tcPr>
            <w:tcW w:w="3260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33C30" w:rsidRPr="00D33C30" w:rsidRDefault="00D33C30" w:rsidP="004D38CC">
            <w:r w:rsidRPr="00D33C30">
              <w:t> </w:t>
            </w:r>
          </w:p>
        </w:tc>
      </w:tr>
    </w:tbl>
    <w:p w:rsidR="00D33C30" w:rsidRDefault="00D33C30">
      <w:bookmarkStart w:id="0" w:name="_GoBack"/>
      <w:bookmarkEnd w:id="0"/>
    </w:p>
    <w:sectPr w:rsidR="00D3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9A"/>
    <w:rsid w:val="00674ECF"/>
    <w:rsid w:val="007C30D1"/>
    <w:rsid w:val="00AB2D12"/>
    <w:rsid w:val="00C4619A"/>
    <w:rsid w:val="00D159B3"/>
    <w:rsid w:val="00D33C30"/>
    <w:rsid w:val="00E435C0"/>
    <w:rsid w:val="00E7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8EAD-7435-4022-B1A4-B31A3493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879</Words>
  <Characters>6070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2019-01-14T17:53:00Z</dcterms:created>
  <dcterms:modified xsi:type="dcterms:W3CDTF">2019-01-14T19:12:00Z</dcterms:modified>
</cp:coreProperties>
</file>