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6" w:rsidRPr="00A744A3" w:rsidRDefault="00E75646" w:rsidP="00E75646">
      <w:pPr>
        <w:pStyle w:val="NormlWeb"/>
        <w:numPr>
          <w:ilvl w:val="0"/>
          <w:numId w:val="3"/>
        </w:numPr>
        <w:spacing w:before="0" w:beforeAutospacing="0" w:after="150" w:afterAutospacing="0"/>
        <w:rPr>
          <w:color w:val="000000" w:themeColor="text1"/>
          <w:sz w:val="36"/>
        </w:rPr>
      </w:pPr>
      <w:bookmarkStart w:id="0" w:name="_GoBack"/>
      <w:bookmarkEnd w:id="0"/>
      <w:r w:rsidRPr="00A744A3">
        <w:rPr>
          <w:color w:val="000000" w:themeColor="text1"/>
          <w:sz w:val="36"/>
        </w:rPr>
        <w:t>Dia</w:t>
      </w:r>
    </w:p>
    <w:p w:rsidR="00E75646" w:rsidRDefault="003A7EC2" w:rsidP="003A7EC2">
      <w:pPr>
        <w:pStyle w:val="NormlWeb"/>
        <w:spacing w:before="0" w:beforeAutospacing="0" w:after="150" w:afterAutospacing="0"/>
        <w:rPr>
          <w:b/>
          <w:color w:val="000000" w:themeColor="text1"/>
        </w:rPr>
      </w:pPr>
      <w:r w:rsidRPr="00A744A3">
        <w:rPr>
          <w:color w:val="000000" w:themeColor="text1"/>
        </w:rPr>
        <w:t>Az EU egységes piacán</w:t>
      </w:r>
      <w:r w:rsidR="002C2403">
        <w:rPr>
          <w:color w:val="000000" w:themeColor="text1"/>
        </w:rPr>
        <w:t>,amely a közös piac fejlettebb változata</w:t>
      </w:r>
      <w:r w:rsidRPr="00A744A3">
        <w:rPr>
          <w:color w:val="000000" w:themeColor="text1"/>
        </w:rPr>
        <w:t xml:space="preserve"> (más néven: belső piacán) az egyes országok belső piacaihoz hasonlóan biztosított </w:t>
      </w:r>
      <w:r w:rsidRPr="00A744A3">
        <w:rPr>
          <w:rStyle w:val="Kiemels2"/>
          <w:b w:val="0"/>
          <w:color w:val="000000" w:themeColor="text1"/>
        </w:rPr>
        <w:t xml:space="preserve">a </w:t>
      </w:r>
      <w:proofErr w:type="spellStart"/>
      <w:r w:rsidRPr="00A744A3">
        <w:rPr>
          <w:rStyle w:val="Kiemels2"/>
          <w:b w:val="0"/>
          <w:color w:val="000000" w:themeColor="text1"/>
          <w:lang w:val="en"/>
        </w:rPr>
        <w:t>személyek</w:t>
      </w:r>
      <w:proofErr w:type="spellEnd"/>
      <w:r w:rsidRPr="00A744A3">
        <w:rPr>
          <w:rStyle w:val="Kiemels2"/>
          <w:b w:val="0"/>
          <w:color w:val="000000" w:themeColor="text1"/>
        </w:rPr>
        <w:t xml:space="preserve">, az </w:t>
      </w:r>
      <w:proofErr w:type="spellStart"/>
      <w:r w:rsidRPr="00A744A3">
        <w:rPr>
          <w:rStyle w:val="Kiemels2"/>
          <w:b w:val="0"/>
          <w:color w:val="000000" w:themeColor="text1"/>
          <w:lang w:val="en"/>
        </w:rPr>
        <w:t>áruk</w:t>
      </w:r>
      <w:proofErr w:type="spellEnd"/>
      <w:r w:rsidRPr="00A744A3">
        <w:rPr>
          <w:rStyle w:val="Kiemels2"/>
          <w:b w:val="0"/>
          <w:color w:val="000000" w:themeColor="text1"/>
        </w:rPr>
        <w:t xml:space="preserve">, a </w:t>
      </w:r>
      <w:proofErr w:type="spellStart"/>
      <w:r w:rsidRPr="00A744A3">
        <w:rPr>
          <w:rStyle w:val="Kiemels2"/>
          <w:b w:val="0"/>
          <w:color w:val="000000" w:themeColor="text1"/>
          <w:lang w:val="en"/>
        </w:rPr>
        <w:t>tőke</w:t>
      </w:r>
      <w:proofErr w:type="spellEnd"/>
      <w:r w:rsidRPr="00A744A3">
        <w:rPr>
          <w:rStyle w:val="Kiemels2"/>
          <w:b w:val="0"/>
          <w:color w:val="000000" w:themeColor="text1"/>
        </w:rPr>
        <w:t xml:space="preserve"> és a </w:t>
      </w:r>
      <w:proofErr w:type="spellStart"/>
      <w:r w:rsidRPr="00A744A3">
        <w:rPr>
          <w:rStyle w:val="Kiemels2"/>
          <w:b w:val="0"/>
          <w:color w:val="000000" w:themeColor="text1"/>
          <w:lang w:val="en"/>
        </w:rPr>
        <w:t>szolgáltatások</w:t>
      </w:r>
      <w:proofErr w:type="spellEnd"/>
      <w:r w:rsidRPr="00A744A3">
        <w:rPr>
          <w:rStyle w:val="Kiemels2"/>
          <w:b w:val="0"/>
          <w:color w:val="000000" w:themeColor="text1"/>
        </w:rPr>
        <w:t xml:space="preserve"> szabad mozgása</w:t>
      </w:r>
      <w:r w:rsidRPr="00A744A3">
        <w:rPr>
          <w:b/>
          <w:color w:val="000000" w:themeColor="text1"/>
        </w:rPr>
        <w:t xml:space="preserve">. </w:t>
      </w:r>
    </w:p>
    <w:p w:rsidR="00665631" w:rsidRDefault="00665631" w:rsidP="003A7EC2">
      <w:pPr>
        <w:pStyle w:val="NormlWeb"/>
        <w:spacing w:before="0" w:beforeAutospacing="0" w:after="150" w:afterAutospacing="0"/>
        <w:rPr>
          <w:b/>
          <w:color w:val="000000" w:themeColor="text1"/>
        </w:rPr>
      </w:pPr>
    </w:p>
    <w:p w:rsidR="00665631" w:rsidRPr="00045880" w:rsidRDefault="00665631" w:rsidP="0066563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045880">
        <w:rPr>
          <w:b/>
          <w:sz w:val="24"/>
          <w:szCs w:val="24"/>
          <w:u w:val="single"/>
        </w:rPr>
        <w:t>Áruk szabad mozgása</w:t>
      </w:r>
      <w:r w:rsidRPr="00045880">
        <w:rPr>
          <w:sz w:val="24"/>
          <w:szCs w:val="24"/>
        </w:rPr>
        <w:t>: Az áruforgalom az Unión belül szabad, kifelé közös vámtarifa érvényesül.</w:t>
      </w:r>
    </w:p>
    <w:p w:rsidR="00665631" w:rsidRPr="00045880" w:rsidRDefault="00665631" w:rsidP="0066563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045880">
        <w:rPr>
          <w:b/>
          <w:sz w:val="24"/>
          <w:szCs w:val="24"/>
          <w:u w:val="single"/>
        </w:rPr>
        <w:t>Személyek szabad mozgása</w:t>
      </w:r>
      <w:r w:rsidRPr="00045880">
        <w:rPr>
          <w:sz w:val="24"/>
          <w:szCs w:val="24"/>
        </w:rPr>
        <w:t>: a letelepedés szabadsága</w:t>
      </w:r>
    </w:p>
    <w:p w:rsidR="00665631" w:rsidRPr="00045880" w:rsidRDefault="00665631" w:rsidP="0066563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045880">
        <w:rPr>
          <w:b/>
          <w:sz w:val="24"/>
          <w:szCs w:val="24"/>
          <w:u w:val="single"/>
        </w:rPr>
        <w:t>Szolgáltatások szabadsága</w:t>
      </w:r>
      <w:r w:rsidRPr="00045880">
        <w:rPr>
          <w:sz w:val="24"/>
          <w:szCs w:val="24"/>
        </w:rPr>
        <w:t>: A határokon átlépő szolgáltatások („testetlen” termékek, ellentétben az árukkal) korlátozás nélkül nyújthatók a belső piacon.</w:t>
      </w:r>
    </w:p>
    <w:p w:rsidR="00665631" w:rsidRPr="00045880" w:rsidRDefault="00665631" w:rsidP="0066563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045880">
        <w:rPr>
          <w:b/>
          <w:sz w:val="24"/>
          <w:szCs w:val="24"/>
          <w:u w:val="single"/>
        </w:rPr>
        <w:t>Tőke szabad áramlása</w:t>
      </w:r>
      <w:r w:rsidRPr="00045880">
        <w:rPr>
          <w:sz w:val="24"/>
          <w:szCs w:val="24"/>
        </w:rPr>
        <w:t>:</w:t>
      </w:r>
      <w:r w:rsidRPr="00665631">
        <w:rPr>
          <w:rFonts w:eastAsiaTheme="minorEastAsia" w:hAnsi="Arial Narrow"/>
          <w:sz w:val="24"/>
          <w:szCs w:val="24"/>
          <w14:shadow w14:blurRad="38100" w14:dist="38100" w14:dir="2700000" w14:sx="100000" w14:sy="100000" w14:kx="0" w14:ky="0" w14:algn="tl">
            <w14:srgbClr w14:val="808080"/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665631" w:rsidRPr="00045880" w:rsidRDefault="00665631" w:rsidP="006656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045880">
        <w:rPr>
          <w:sz w:val="24"/>
          <w:szCs w:val="24"/>
        </w:rPr>
        <w:t xml:space="preserve">Tőkeforgalom  értékek átvitele egy másik tagállamba, amelyek egyúttal tőkebefektetésnek tekintendők. </w:t>
      </w:r>
    </w:p>
    <w:p w:rsidR="00665631" w:rsidRPr="00045880" w:rsidRDefault="00665631" w:rsidP="006656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045880">
        <w:rPr>
          <w:sz w:val="24"/>
          <w:szCs w:val="24"/>
        </w:rPr>
        <w:t>Fizetések lebonyolítása ezek a szabad áru –személy – és szolgáltatásforgalom kiegészítéséül szolgálnak a szükséges mértékben</w:t>
      </w:r>
    </w:p>
    <w:p w:rsidR="00665631" w:rsidRPr="00A744A3" w:rsidRDefault="00665631" w:rsidP="003A7EC2">
      <w:pPr>
        <w:pStyle w:val="NormlWeb"/>
        <w:spacing w:before="0" w:beforeAutospacing="0" w:after="150" w:afterAutospacing="0"/>
        <w:rPr>
          <w:b/>
          <w:color w:val="000000" w:themeColor="text1"/>
        </w:rPr>
      </w:pPr>
    </w:p>
    <w:p w:rsidR="00E75646" w:rsidRPr="00A744A3" w:rsidRDefault="00E75646" w:rsidP="00E75646">
      <w:pPr>
        <w:pStyle w:val="NormlWeb"/>
        <w:numPr>
          <w:ilvl w:val="0"/>
          <w:numId w:val="3"/>
        </w:numPr>
        <w:spacing w:before="0" w:beforeAutospacing="0" w:after="150" w:afterAutospacing="0"/>
        <w:rPr>
          <w:color w:val="000000" w:themeColor="text1"/>
          <w:sz w:val="36"/>
        </w:rPr>
      </w:pPr>
      <w:r w:rsidRPr="00A744A3">
        <w:rPr>
          <w:color w:val="000000" w:themeColor="text1"/>
          <w:sz w:val="36"/>
        </w:rPr>
        <w:t>Dia</w:t>
      </w:r>
    </w:p>
    <w:p w:rsidR="003A7EC2" w:rsidRPr="00A744A3" w:rsidRDefault="003A7EC2" w:rsidP="003A7EC2">
      <w:pPr>
        <w:pStyle w:val="NormlWeb"/>
        <w:spacing w:before="0" w:beforeAutospacing="0" w:after="150" w:afterAutospacing="0"/>
        <w:rPr>
          <w:color w:val="000000" w:themeColor="text1"/>
        </w:rPr>
      </w:pPr>
      <w:r w:rsidRPr="00A744A3">
        <w:rPr>
          <w:color w:val="000000" w:themeColor="text1"/>
        </w:rPr>
        <w:t>Az uniós polgárok az EU bármelyik tagállamában tanulmányokat folytathatnak, letelepedhetnek, vásárolhatnak, munkát vállalhatnak és igénybe vehetik a nyugellátási rendszert. Az egységes piacnak köszönhetően az európai termékek széles skálája áll a rendelkezésükre.</w:t>
      </w:r>
    </w:p>
    <w:p w:rsidR="0034628F" w:rsidRPr="007E4962" w:rsidRDefault="003A7EC2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EU arra is ügyel, hogy a nagyobb szabadság ne ássa alá a </w:t>
      </w:r>
      <w:r w:rsidRPr="007E49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tisztességes üzleti gyakorlatot, a megfelelő fogyasztóvédelmet, illetve a környezeti fenntarthatóságot</w:t>
      </w:r>
      <w:r w:rsidRPr="007E4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E75646" w:rsidRPr="00A744A3" w:rsidRDefault="00E75646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75646" w:rsidRPr="00A744A3" w:rsidRDefault="00E75646" w:rsidP="00E75646">
      <w:pPr>
        <w:pStyle w:val="Listaszerbekezds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  <w:t>Dia</w:t>
      </w:r>
    </w:p>
    <w:p w:rsidR="003A7EC2" w:rsidRPr="00A744A3" w:rsidRDefault="003A7EC2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EU területén tevékenykedő európai vállalkozások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közel 500 millió fogyasztónak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kínálhatják szabadon áruikat és szolgáltatásaikat, ami segít nekik, hogy versenyképesek maradhassanak. Az egységes piac ugyanakkor 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külföldi befektetők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számára is vonzó lehetőségeket kínál.</w:t>
      </w:r>
    </w:p>
    <w:p w:rsidR="003A7EC2" w:rsidRPr="00A744A3" w:rsidRDefault="003A7EC2" w:rsidP="00E756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gazdasági integráció</w:t>
      </w:r>
      <w:r w:rsidR="00104F18"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(beolvasztás, összevonás)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F7805"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hanyatlása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számottevő előnyt jelenthet, mert lehetővé teszi, hogy az uniós országok továbbra is kereskedjenek egymással, ahelyett, hogy </w:t>
      </w:r>
      <w:r w:rsidR="00537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hazai gazdaságot előnyben részesítő 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intézkedésekhez folyamodnának, ami tovább mélyítené a válságot.</w:t>
      </w:r>
    </w:p>
    <w:p w:rsidR="00E75646" w:rsidRPr="00A744A3" w:rsidRDefault="00E75646" w:rsidP="00E756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</w:pPr>
    </w:p>
    <w:p w:rsidR="00E75646" w:rsidRPr="00A744A3" w:rsidRDefault="00E75646" w:rsidP="00E75646">
      <w:pPr>
        <w:pStyle w:val="Listaszerbekezds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  <w:t>Dia</w:t>
      </w:r>
    </w:p>
    <w:p w:rsidR="003A7EC2" w:rsidRPr="00A744A3" w:rsidRDefault="003A7EC2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elért eredmények ellenére sok akadályt kell még felszámolni azokon a területeken, ahol az integráció lassan halad:</w:t>
      </w:r>
    </w:p>
    <w:p w:rsidR="003A7EC2" w:rsidRPr="00A744A3" w:rsidRDefault="003A7EC2" w:rsidP="003A7EC2">
      <w:pPr>
        <w:numPr>
          <w:ilvl w:val="0"/>
          <w:numId w:val="1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tagállami adórendszerek széttagoltsága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hátráltatja a piaci integrációt, és akadályozza a piac hatékony működését;</w:t>
      </w:r>
    </w:p>
    <w:p w:rsidR="003A7EC2" w:rsidRPr="00A744A3" w:rsidRDefault="003A7EC2" w:rsidP="003A7EC2">
      <w:pPr>
        <w:numPr>
          <w:ilvl w:val="0"/>
          <w:numId w:val="1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pénzügyi szolgáltatások, az energia és a közlekedés terén még mindig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elkülönült tagállami piacokról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beszélhetünk;</w:t>
      </w:r>
    </w:p>
    <w:p w:rsidR="003A7EC2" w:rsidRPr="00A744A3" w:rsidRDefault="003A7EC2" w:rsidP="003A7EC2">
      <w:pPr>
        <w:numPr>
          <w:ilvl w:val="0"/>
          <w:numId w:val="1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e-kereskedelem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lassabban indul be a tagállamok között, mint az egyes országokon belül, és a szabályok, az előírások és a bevett módszerek között jelentős eltérések vannak;</w:t>
      </w:r>
    </w:p>
    <w:p w:rsidR="003A7EC2" w:rsidRPr="00A744A3" w:rsidRDefault="003A7EC2" w:rsidP="003A7EC2">
      <w:pPr>
        <w:numPr>
          <w:ilvl w:val="0"/>
          <w:numId w:val="1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szolgáltatási ágazat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integrá</w:t>
      </w:r>
      <w:r w:rsidR="000B672F"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ciója elmarad az árupiacokétól</w:t>
      </w:r>
    </w:p>
    <w:p w:rsidR="003A7EC2" w:rsidRPr="00A744A3" w:rsidRDefault="003A7EC2" w:rsidP="003A7EC2">
      <w:pPr>
        <w:numPr>
          <w:ilvl w:val="0"/>
          <w:numId w:val="1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egyszerűsíteni kell 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szakmai képesítések elismerésére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vonatkozó szabályokat, hogy a szakképzett munkavállalók könnyebben helyezkedhessenek el más tagállamokban.</w:t>
      </w:r>
    </w:p>
    <w:p w:rsidR="000B672F" w:rsidRPr="00A744A3" w:rsidRDefault="000B672F" w:rsidP="000B672F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4628F" w:rsidRPr="00A744A3" w:rsidRDefault="0034628F" w:rsidP="0034628F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75646" w:rsidRPr="00A744A3" w:rsidRDefault="00E75646" w:rsidP="00E75646">
      <w:pPr>
        <w:spacing w:before="100" w:beforeAutospacing="1" w:after="11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75646" w:rsidRPr="00A744A3" w:rsidRDefault="00E75646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75646" w:rsidRPr="00A744A3" w:rsidRDefault="00E75646" w:rsidP="00E75646">
      <w:pPr>
        <w:pStyle w:val="Listaszerbekezds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  <w:t>Dia</w:t>
      </w:r>
    </w:p>
    <w:p w:rsidR="0034628F" w:rsidRPr="00A744A3" w:rsidRDefault="003A7EC2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pénzügyi szolgáltatások</w:t>
      </w:r>
      <w:r w:rsidR="00E75646"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piaca különleges eset. 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Itt az EU arra törekszik, hogy a pénzügyi intézetek felügyeletével, az összetett pénzügyi termékek szabályozásával és a banktőke-követelmények szigorításával erős és biztonságos pénzügyi ágazatot építsen ki, és elkerülje a 2009-es válság esetleges megismétlődését. </w:t>
      </w:r>
      <w:r w:rsidR="0034628F"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bankunió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létrehozása számos tagállamban azt eredményezte, hogy nemzeti hatáskörből uniós hatáskörbe kerültek a bankfelügyeleti és szanálási mechanizmusok.</w:t>
      </w:r>
    </w:p>
    <w:p w:rsidR="0034628F" w:rsidRPr="00A744A3" w:rsidRDefault="0034628F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4628F" w:rsidRPr="00A744A3" w:rsidRDefault="0034628F" w:rsidP="0034628F">
      <w:pPr>
        <w:pStyle w:val="Listaszerbekezds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u-HU"/>
        </w:rPr>
        <w:t>Dia</w:t>
      </w:r>
    </w:p>
    <w:p w:rsidR="003A7EC2" w:rsidRPr="00A744A3" w:rsidRDefault="003A7EC2" w:rsidP="003A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EU tervei között szerepel az egész Unióra kiterjedő </w:t>
      </w:r>
      <w:r w:rsidRPr="00A74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tőkepiaci unió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létrehozása is, amely:</w:t>
      </w:r>
    </w:p>
    <w:p w:rsidR="003A7EC2" w:rsidRPr="00A744A3" w:rsidRDefault="003A7EC2" w:rsidP="003A7EC2">
      <w:pPr>
        <w:numPr>
          <w:ilvl w:val="0"/>
          <w:numId w:val="2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csökkentené a pénzügyi piacok széttöredezettségét;</w:t>
      </w:r>
    </w:p>
    <w:p w:rsidR="003A7EC2" w:rsidRPr="00A744A3" w:rsidRDefault="003A7EC2" w:rsidP="003A7EC2">
      <w:pPr>
        <w:numPr>
          <w:ilvl w:val="0"/>
          <w:numId w:val="2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diverzifikálná</w:t>
      </w:r>
      <w:r w:rsidR="00FD4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2C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D4717" w:rsidRPr="00FD4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kockázat csökkentésére irányuló magatartás a portfólió </w:t>
      </w:r>
      <w:r w:rsidR="00FD4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pénzügyi forrásokat;</w:t>
      </w:r>
    </w:p>
    <w:p w:rsidR="003A7EC2" w:rsidRPr="00A744A3" w:rsidRDefault="003A7EC2" w:rsidP="003A7EC2">
      <w:pPr>
        <w:numPr>
          <w:ilvl w:val="0"/>
          <w:numId w:val="2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intenzívebbé tenné az uniós tagállamok közötti tőkeáramlást;</w:t>
      </w:r>
    </w:p>
    <w:p w:rsidR="003A7EC2" w:rsidRPr="00A744A3" w:rsidRDefault="003A7EC2" w:rsidP="003A7EC2">
      <w:pPr>
        <w:numPr>
          <w:ilvl w:val="0"/>
          <w:numId w:val="2"/>
        </w:numPr>
        <w:spacing w:before="100" w:beforeAutospacing="1" w:after="113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4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megkönnyítené a vállalkozások – különösen a kis- és középvállalatok – számára a finanszírozáshoz való hozzáférést.</w:t>
      </w:r>
    </w:p>
    <w:p w:rsidR="006E0082" w:rsidRPr="00A744A3" w:rsidRDefault="006E0082" w:rsidP="003A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28F" w:rsidRPr="00A744A3" w:rsidRDefault="0034628F" w:rsidP="0034628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A744A3">
        <w:rPr>
          <w:rFonts w:ascii="Times New Roman" w:hAnsi="Times New Roman" w:cs="Times New Roman"/>
          <w:color w:val="000000" w:themeColor="text1"/>
          <w:sz w:val="36"/>
          <w:szCs w:val="24"/>
        </w:rPr>
        <w:t>Dia</w:t>
      </w:r>
    </w:p>
    <w:p w:rsidR="00E75646" w:rsidRPr="00A744A3" w:rsidRDefault="00E75646" w:rsidP="003A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EC2"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>Bár a belső piac felépítése folyamatos erőfeszítéseket követel meg, az egységes piac további elmélyítése az uniós fogyasztók és vállalkozások szempontjábó</w:t>
      </w:r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jelentős előnyökkel járhatna. </w:t>
      </w:r>
      <w:r w:rsidR="003A7EC2"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fejlődés szempontjából az egységes digitális piac az egyik legígéretesebb és a legnagyobb kihívást jelentő terület. </w:t>
      </w:r>
    </w:p>
    <w:p w:rsidR="003A7EC2" w:rsidRPr="00A744A3" w:rsidRDefault="003A7EC2" w:rsidP="003A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Ez új esélyeket teremt a gazdaság fellendítésére (pl. az e-kereskedelem révén), csökkentve ugyanakkor az adminisztratív terheket (pl. e-kormányzat és a közszolgáltatások digitalizálása révén). Felhívja a figyelmet azokra a területekre, amelyeken a jelenlegi szabályozásokkal és üzleti gyakorlatokkal nem lehet kiaknázni az információs és kommunikációs technológiák által kínált lehetőségeket.</w:t>
      </w:r>
    </w:p>
    <w:p w:rsidR="000B672F" w:rsidRPr="00A744A3" w:rsidRDefault="0034628F" w:rsidP="000B672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36"/>
          <w:szCs w:val="24"/>
        </w:rPr>
      </w:pPr>
      <w:r w:rsidRPr="00A744A3">
        <w:rPr>
          <w:rFonts w:ascii="Times New Roman" w:hAnsi="Times New Roman" w:cs="Times New Roman"/>
          <w:bCs/>
          <w:color w:val="000000" w:themeColor="text1"/>
          <w:sz w:val="36"/>
          <w:szCs w:val="24"/>
        </w:rPr>
        <w:t>Dia</w:t>
      </w:r>
    </w:p>
    <w:p w:rsidR="003A7EC2" w:rsidRDefault="003A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Pr="00A74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belső piac</w:t>
      </w:r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összetett rendszere gyakran vet fel értelmezési kérdéseket. Az Unió intézményrendszerében az </w:t>
      </w:r>
      <w:hyperlink r:id="rId6" w:anchor="maintitle" w:history="1">
        <w:r w:rsidRPr="00A744A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Európai Bíróság</w:t>
        </w:r>
      </w:hyperlink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feladata, hogy a </w:t>
      </w:r>
      <w:hyperlink r:id="rId7" w:anchor="maintitle" w:history="1">
        <w:r w:rsidRPr="00A744A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közösségi jogszabály</w:t>
        </w:r>
      </w:hyperlink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okat értelmezze, míg a </w:t>
      </w:r>
      <w:hyperlink r:id="rId8" w:anchor="maintitle" w:history="1">
        <w:r w:rsidRPr="00A744A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Tagállamok</w:t>
        </w:r>
      </w:hyperlink>
      <w:r w:rsidRPr="00A7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többi uniós intézmény feladata, hogy alkalmazza azokat.</w:t>
      </w:r>
    </w:p>
    <w:p w:rsidR="00665631" w:rsidRDefault="00665631" w:rsidP="0066563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24"/>
        </w:rPr>
        <w:t>Dia</w:t>
      </w:r>
    </w:p>
    <w:p w:rsidR="00665631" w:rsidRDefault="00665631" w:rsidP="006656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1957-ben kiadták a Római szerződést, amelyben a közös piac megteremtése a cél</w:t>
      </w:r>
      <w:r w:rsid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C2403" w:rsidRDefault="002C2403" w:rsidP="006656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1968-ban árumozgás, vámtarifa</w:t>
      </w:r>
    </w:p>
    <w:p w:rsidR="000E375F" w:rsidRPr="000E375F" w:rsidRDefault="002C2403" w:rsidP="000E375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1985-ben létre jön az </w:t>
      </w:r>
      <w:r w:rsidRP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Egységes Európai Okmány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melyben a </w:t>
      </w:r>
      <w:r w:rsidRP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fizikai, fiskális</w:t>
      </w:r>
      <w:r w:rsidR="001E0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0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(más néven</w:t>
      </w:r>
      <w:r w:rsidR="001E0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költségvetési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és technikai akadályok leépítése,</w:t>
      </w:r>
      <w:r w:rsidR="001E0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2C2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közös piac megteremtése</w:t>
      </w:r>
      <w:r w:rsidR="001E0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valósul meg.</w:t>
      </w:r>
    </w:p>
    <w:p w:rsidR="000E375F" w:rsidRPr="000E375F" w:rsidRDefault="000E375F" w:rsidP="000E375F">
      <w:pPr>
        <w:pStyle w:val="Listaszerbekezds"/>
        <w:numPr>
          <w:ilvl w:val="0"/>
          <w:numId w:val="3"/>
        </w:numPr>
        <w:rPr>
          <w:sz w:val="36"/>
          <w:szCs w:val="36"/>
        </w:rPr>
      </w:pPr>
      <w:r w:rsidRPr="000E375F">
        <w:rPr>
          <w:sz w:val="36"/>
          <w:szCs w:val="36"/>
        </w:rPr>
        <w:t>Dia</w:t>
      </w:r>
    </w:p>
    <w:p w:rsidR="000E375F" w:rsidRPr="000E375F" w:rsidRDefault="000E375F" w:rsidP="000E375F">
      <w:pPr>
        <w:ind w:left="360"/>
        <w:rPr>
          <w:sz w:val="24"/>
          <w:szCs w:val="24"/>
        </w:rPr>
      </w:pPr>
      <w:r w:rsidRPr="000E375F">
        <w:rPr>
          <w:sz w:val="24"/>
          <w:szCs w:val="24"/>
        </w:rPr>
        <w:t xml:space="preserve">1979-ben hozták létre amely egy </w:t>
      </w:r>
      <w:r w:rsidRPr="000E375F">
        <w:rPr>
          <w:b/>
          <w:sz w:val="24"/>
          <w:szCs w:val="24"/>
        </w:rPr>
        <w:t>valutaegység</w:t>
      </w:r>
      <w:r w:rsidRPr="000E375F">
        <w:rPr>
          <w:sz w:val="24"/>
          <w:szCs w:val="24"/>
        </w:rPr>
        <w:t xml:space="preserve"> és a tagállamok gazdasági erejének súlyozásával létrehozott valutakosár volt. </w:t>
      </w:r>
      <w:r w:rsidRPr="000E375F">
        <w:rPr>
          <w:b/>
          <w:sz w:val="24"/>
          <w:szCs w:val="24"/>
        </w:rPr>
        <w:t>Készpénzként nem létezik</w:t>
      </w:r>
      <w:r w:rsidRPr="000E375F">
        <w:rPr>
          <w:sz w:val="24"/>
          <w:szCs w:val="24"/>
        </w:rPr>
        <w:t xml:space="preserve">, ám az ECU az </w:t>
      </w:r>
      <w:r w:rsidRPr="000E375F">
        <w:rPr>
          <w:b/>
          <w:sz w:val="24"/>
          <w:szCs w:val="24"/>
        </w:rPr>
        <w:t>európai közös pénz</w:t>
      </w:r>
      <w:r w:rsidRPr="000E375F">
        <w:rPr>
          <w:sz w:val="24"/>
          <w:szCs w:val="24"/>
        </w:rPr>
        <w:t xml:space="preserve"> . Az euró megteremtésében nagyon fontos szerepe volt. 1999 január 1-jén megszüntették, illetve egy az egyben euróra váltották.</w:t>
      </w:r>
    </w:p>
    <w:p w:rsidR="000E375F" w:rsidRPr="000E375F" w:rsidRDefault="000E375F" w:rsidP="000E375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A7EC2" w:rsidRPr="00A744A3" w:rsidRDefault="003A7EC2">
      <w:pPr>
        <w:rPr>
          <w:color w:val="000000" w:themeColor="text1"/>
        </w:rPr>
      </w:pPr>
    </w:p>
    <w:sectPr w:rsidR="003A7EC2" w:rsidRPr="00A7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CF5"/>
    <w:multiLevelType w:val="multilevel"/>
    <w:tmpl w:val="BC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22B55"/>
    <w:multiLevelType w:val="hybridMultilevel"/>
    <w:tmpl w:val="22CE874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D4708"/>
    <w:multiLevelType w:val="hybridMultilevel"/>
    <w:tmpl w:val="0A605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194A"/>
    <w:multiLevelType w:val="multilevel"/>
    <w:tmpl w:val="9E9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D669D"/>
    <w:multiLevelType w:val="hybridMultilevel"/>
    <w:tmpl w:val="6EE82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2"/>
    <w:rsid w:val="000B672F"/>
    <w:rsid w:val="000E375F"/>
    <w:rsid w:val="000F3826"/>
    <w:rsid w:val="00104F18"/>
    <w:rsid w:val="001E0D21"/>
    <w:rsid w:val="002C0CDD"/>
    <w:rsid w:val="002C2403"/>
    <w:rsid w:val="0034628F"/>
    <w:rsid w:val="003A7EC2"/>
    <w:rsid w:val="004B1C36"/>
    <w:rsid w:val="005371E8"/>
    <w:rsid w:val="00665631"/>
    <w:rsid w:val="006E0082"/>
    <w:rsid w:val="007E4962"/>
    <w:rsid w:val="009265F8"/>
    <w:rsid w:val="00987BA4"/>
    <w:rsid w:val="00A744A3"/>
    <w:rsid w:val="00BE5DAA"/>
    <w:rsid w:val="00E75646"/>
    <w:rsid w:val="00FD471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7EC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A7EC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7EC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A7EC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i.hu/eu/tagallam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mi.hu/eu/kozossegi_jogszab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mi.hu/eu/europai_birosa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MSZÁgi</cp:lastModifiedBy>
  <cp:revision>2</cp:revision>
  <dcterms:created xsi:type="dcterms:W3CDTF">2019-01-04T16:14:00Z</dcterms:created>
  <dcterms:modified xsi:type="dcterms:W3CDTF">2019-01-04T16:14:00Z</dcterms:modified>
</cp:coreProperties>
</file>